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96"/>
        <w:gridCol w:w="212"/>
        <w:gridCol w:w="188"/>
        <w:gridCol w:w="55"/>
        <w:gridCol w:w="52"/>
        <w:gridCol w:w="202"/>
        <w:gridCol w:w="111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371"/>
        <w:gridCol w:w="61"/>
        <w:gridCol w:w="365"/>
        <w:gridCol w:w="31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A648EB" w:rsidRPr="00091D6D">
        <w:trPr>
          <w:trHeight w:val="280"/>
          <w:jc w:val="center"/>
        </w:trPr>
        <w:tc>
          <w:tcPr>
            <w:tcW w:w="333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15" w:type="dxa"/>
            <w:tcBorders>
              <w:left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43" w:type="dxa"/>
            <w:gridSpan w:val="3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9" w:type="dxa"/>
            <w:gridSpan w:val="5"/>
          </w:tcPr>
          <w:p w:rsidR="00A648EB" w:rsidRPr="00091D6D" w:rsidRDefault="00A648EB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Контролор</w:t>
            </w:r>
          </w:p>
          <w:p w:rsidR="00A648EB" w:rsidRPr="00091D6D" w:rsidRDefault="00A648EB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val="280"/>
          <w:jc w:val="center"/>
        </w:trPr>
        <w:tc>
          <w:tcPr>
            <w:tcW w:w="243" w:type="dxa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32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val="527"/>
          <w:jc w:val="center"/>
        </w:trPr>
        <w:tc>
          <w:tcPr>
            <w:tcW w:w="243" w:type="dxa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96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309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4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11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322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A648EB" w:rsidRPr="00091D6D" w:rsidRDefault="00A648EB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Вид.</w:t>
            </w:r>
          </w:p>
          <w:p w:rsidR="00A648EB" w:rsidRPr="00091D6D" w:rsidRDefault="00A648EB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A648EB" w:rsidRPr="00091D6D" w:rsidRDefault="00A648EB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5"/>
          </w:tcPr>
          <w:p w:rsidR="00A648EB" w:rsidRPr="00091D6D" w:rsidRDefault="00A648EB">
            <w:pPr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A648EB" w:rsidRPr="00091D6D" w:rsidRDefault="00A648EB">
      <w:pPr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1F4B36" w:rsidRDefault="00A648EB">
      <w:pPr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Назив на субјект</w:t>
      </w:r>
      <w:r>
        <w:rPr>
          <w:rFonts w:ascii="Arial Narrow" w:hAnsi="Arial Narrow" w:cs="Arial Narrow"/>
          <w:b/>
          <w:bCs/>
          <w:sz w:val="22"/>
          <w:szCs w:val="22"/>
          <w:lang w:val="mk-MK"/>
        </w:rPr>
        <w:t xml:space="preserve">ООУ Страшо Пинџур </w:t>
      </w:r>
    </w:p>
    <w:p w:rsidR="00A648EB" w:rsidRPr="00091D6D" w:rsidRDefault="00A648EB">
      <w:pPr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Адреса, седиште и телефон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  ул.ДАГ бр.3   Кавадарци   043-410-958</w:t>
      </w:r>
    </w:p>
    <w:p w:rsidR="00A648EB" w:rsidRPr="00091D6D" w:rsidRDefault="00A648EB" w:rsidP="00795F57">
      <w:pPr>
        <w:tabs>
          <w:tab w:val="left" w:pos="4678"/>
        </w:tabs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Единствен даночен број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4011992107800</w:t>
      </w:r>
    </w:p>
    <w:p w:rsidR="00A648EB" w:rsidRPr="00091D6D" w:rsidRDefault="00A648EB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A648EB" w:rsidRPr="00091D6D" w:rsidRDefault="00A648EB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 w:cs="Arial Narrow"/>
          <w:sz w:val="22"/>
          <w:szCs w:val="22"/>
        </w:rPr>
      </w:pPr>
      <w:r w:rsidRPr="00091D6D">
        <w:rPr>
          <w:rFonts w:ascii="Arial Narrow" w:hAnsi="Arial Narrow" w:cs="Arial Narrow"/>
          <w:sz w:val="22"/>
          <w:szCs w:val="22"/>
        </w:rPr>
        <w:t>ПРИХОДИ И РАСХОДИ</w:t>
      </w:r>
    </w:p>
    <w:p w:rsidR="00A648EB" w:rsidRPr="00091D6D" w:rsidRDefault="00A648EB" w:rsidP="00795F57">
      <w:pPr>
        <w:spacing w:before="58"/>
        <w:ind w:hanging="425"/>
        <w:jc w:val="center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во текот на годината - Биланс на приходите и расходите</w:t>
      </w:r>
    </w:p>
    <w:p w:rsidR="00A648EB" w:rsidRPr="00091D6D" w:rsidRDefault="00032A01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од 1 јануари до  31.12.20</w:t>
      </w:r>
      <w:r w:rsidR="00572093">
        <w:rPr>
          <w:rFonts w:ascii="Arial Narrow" w:hAnsi="Arial Narrow" w:cs="Arial Narrow"/>
          <w:color w:val="000000"/>
          <w:sz w:val="22"/>
          <w:szCs w:val="22"/>
        </w:rPr>
        <w:t>21</w:t>
      </w:r>
      <w:r w:rsidR="00A648EB"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година</w:t>
      </w:r>
    </w:p>
    <w:p w:rsidR="00A648EB" w:rsidRPr="00091D6D" w:rsidRDefault="00A648EB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  <w:sectPr w:rsidR="00A648EB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</w:p>
    <w:p w:rsidR="00A648EB" w:rsidRPr="00091D6D" w:rsidRDefault="00A648EB" w:rsidP="00795F57">
      <w:pPr>
        <w:spacing w:after="67"/>
        <w:jc w:val="center"/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денари)</w:t>
      </w:r>
    </w:p>
    <w:tbl>
      <w:tblPr>
        <w:tblW w:w="9156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A648EB" w:rsidRPr="00091D6D" w:rsidTr="00032A01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648EB" w:rsidRPr="00091D6D" w:rsidRDefault="00A648E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95F5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A648EB" w:rsidRPr="00091D6D" w:rsidRDefault="00A648EB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A648EB" w:rsidRPr="00091D6D" w:rsidTr="00032A01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A648EB" w:rsidRPr="00091D6D" w:rsidRDefault="00A648E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648EB" w:rsidRPr="00091D6D" w:rsidRDefault="00A648E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648EB" w:rsidRPr="00091D6D" w:rsidTr="00032A01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C7EA4" w:rsidRPr="00091D6D" w:rsidTr="00032A01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РАСХОДИ:</w:t>
            </w:r>
          </w:p>
          <w:p w:rsidR="00EC7EA4" w:rsidRPr="00091D6D" w:rsidRDefault="00EC7EA4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I.ТЕКОВНИ РАСХОДИ</w:t>
            </w:r>
          </w:p>
          <w:p w:rsidR="00EC7EA4" w:rsidRPr="00091D6D" w:rsidRDefault="00EC7EA4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(002+007+012+020+024+029+033+039)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2745A5" w:rsidRDefault="00572093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51.742.496,00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506B4A" w:rsidRDefault="00506B4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53.668.166,00</w:t>
            </w:r>
          </w:p>
        </w:tc>
      </w:tr>
      <w:tr w:rsidR="00EC7EA4" w:rsidRPr="00091D6D" w:rsidTr="00032A01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а) ПЛАТИ И НАДОМЕСТОЦИ </w:t>
            </w:r>
          </w:p>
          <w:p w:rsidR="00EC7EA4" w:rsidRPr="00091D6D" w:rsidRDefault="00EC7EA4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   (од 003 до 006)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1B7FF5" w:rsidRDefault="00572093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45.772.811,00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506B4A" w:rsidRDefault="00506B4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46.000.590,00</w:t>
            </w:r>
          </w:p>
        </w:tc>
      </w:tr>
      <w:tr w:rsidR="00EC7EA4" w:rsidRPr="00091D6D" w:rsidTr="00032A01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Плати и 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682A" w:rsidRPr="00225E10" w:rsidRDefault="0065682A" w:rsidP="0065682A">
            <w:pPr>
              <w:rPr>
                <w:rFonts w:ascii="M_Times" w:hAnsi="M_Times"/>
                <w:bCs/>
                <w:sz w:val="22"/>
                <w:szCs w:val="22"/>
              </w:rPr>
            </w:pPr>
            <w:r w:rsidRPr="00225E10">
              <w:rPr>
                <w:rFonts w:ascii="M_Times" w:hAnsi="M_Times"/>
                <w:bCs/>
                <w:sz w:val="22"/>
                <w:szCs w:val="22"/>
              </w:rPr>
              <w:t>28.677.841,00</w:t>
            </w:r>
          </w:p>
          <w:p w:rsidR="00EC7EA4" w:rsidRPr="001B7FF5" w:rsidRDefault="00EC7EA4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506B4A" w:rsidRDefault="00506B4A" w:rsidP="0065682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33.121.354,00</w:t>
            </w:r>
          </w:p>
        </w:tc>
      </w:tr>
      <w:tr w:rsidR="00EC7EA4" w:rsidRPr="00091D6D" w:rsidTr="00032A01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402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C7EA4" w:rsidRPr="00091D6D" w:rsidRDefault="00EC7EA4" w:rsidP="00CD2FE9">
            <w:pPr>
              <w:shd w:val="clear" w:color="auto" w:fill="FFFFFF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1B7FF5" w:rsidRDefault="00572093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12.799.674,00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506B4A" w:rsidRDefault="00506B4A" w:rsidP="0065682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12.879.236,00</w:t>
            </w:r>
          </w:p>
        </w:tc>
      </w:tr>
      <w:tr w:rsidR="00EC7EA4" w:rsidRPr="00091D6D" w:rsidTr="00032A01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091D6D" w:rsidRDefault="00EC7E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C7EA4" w:rsidRPr="00091D6D" w:rsidTr="00032A01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 w:rsidP="002E0B42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091D6D" w:rsidRDefault="00EC7EA4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C7EA4" w:rsidRPr="00091D6D" w:rsidTr="00032A01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б) РЕЗЕРВИ И НЕДЕФИНИРАНИ РАСХОДИ (од 008 до 011)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091D6D" w:rsidRDefault="00EC7E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C7EA4" w:rsidRPr="00091D6D" w:rsidTr="00032A01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091D6D" w:rsidRDefault="00EC7E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C7EA4" w:rsidRPr="00091D6D" w:rsidTr="00032A01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091D6D" w:rsidRDefault="00EC7E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C7EA4" w:rsidRPr="00091D6D" w:rsidTr="00032A01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091D6D" w:rsidRDefault="00EC7E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C7EA4" w:rsidRPr="00091D6D" w:rsidTr="00032A01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 w:rsidP="002E0B42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091D6D" w:rsidRDefault="00EC7EA4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C7EA4" w:rsidRPr="00091D6D" w:rsidTr="00032A01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EC7EA4" w:rsidRPr="00091D6D" w:rsidRDefault="00EC7EA4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C7EA4" w:rsidRPr="00091D6D" w:rsidRDefault="00EC7EA4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013 до 019)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1B7FF5" w:rsidRDefault="00572093" w:rsidP="002E0B42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5.771.015,00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506B4A" w:rsidRDefault="00506B4A" w:rsidP="00976146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7.304.060,00</w:t>
            </w:r>
          </w:p>
        </w:tc>
      </w:tr>
      <w:tr w:rsidR="00EC7EA4" w:rsidRPr="00091D6D" w:rsidTr="00032A01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Патни и дневни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1B7FF5" w:rsidRDefault="00572093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4.219,00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506B4A" w:rsidRDefault="00506B4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4.360,00</w:t>
            </w:r>
          </w:p>
        </w:tc>
      </w:tr>
      <w:tr w:rsidR="00EC7EA4" w:rsidRPr="00091D6D" w:rsidTr="00032A01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1B7FF5" w:rsidRDefault="00572093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2.169.128,00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506B4A" w:rsidRDefault="00506B4A" w:rsidP="0065682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3.085.820,00</w:t>
            </w:r>
          </w:p>
        </w:tc>
      </w:tr>
    </w:tbl>
    <w:p w:rsidR="00A648EB" w:rsidRPr="00091D6D" w:rsidRDefault="00A648EB">
      <w:pPr>
        <w:rPr>
          <w:rFonts w:ascii="Arial Narrow" w:hAnsi="Arial Narrow" w:cs="Arial Narrow"/>
          <w:sz w:val="22"/>
          <w:szCs w:val="22"/>
          <w:lang w:val="mk-MK"/>
        </w:rPr>
        <w:sectPr w:rsidR="00A648E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648EB" w:rsidRPr="00091D6D" w:rsidRDefault="00A648EB">
      <w:pPr>
        <w:spacing w:after="43"/>
        <w:rPr>
          <w:rFonts w:ascii="Arial Narrow" w:hAnsi="Arial Narrow" w:cs="Arial Narrow"/>
          <w:sz w:val="22"/>
          <w:szCs w:val="22"/>
          <w:lang w:val="mk-MK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A648EB" w:rsidRPr="00091D6D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648EB" w:rsidRPr="00091D6D" w:rsidRDefault="00A648EB" w:rsidP="00091D6D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091D6D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648EB" w:rsidRPr="00091D6D" w:rsidRDefault="00A648E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648EB" w:rsidRPr="00091D6D" w:rsidRDefault="00A648EB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091D6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A648EB" w:rsidRPr="00091D6D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648EB" w:rsidRPr="00091D6D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C7EA4" w:rsidRPr="00091D6D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1B7FF5" w:rsidRDefault="00572093" w:rsidP="002E0B4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503.474,00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506B4A" w:rsidRDefault="00506B4A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981.835,00</w:t>
            </w:r>
          </w:p>
        </w:tc>
      </w:tr>
      <w:tr w:rsidR="00EC7EA4" w:rsidRPr="00091D6D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1B7FF5" w:rsidRDefault="00572093" w:rsidP="002E0B4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1.695.061,00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506B4A" w:rsidRDefault="00506B4A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1.376.040,00</w:t>
            </w:r>
          </w:p>
        </w:tc>
      </w:tr>
      <w:tr w:rsidR="00EC7EA4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1B7FF5" w:rsidRDefault="00572093" w:rsidP="002E0B4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1.240.789,00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506B4A" w:rsidRDefault="00506B4A" w:rsidP="0065682A">
            <w:pPr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1.746.767,00</w:t>
            </w:r>
          </w:p>
        </w:tc>
      </w:tr>
      <w:tr w:rsidR="00EC7EA4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тековни расходи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1B7FF5" w:rsidRDefault="00572093" w:rsidP="002E0B4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158.344,00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506B4A" w:rsidRDefault="00506B4A" w:rsidP="0065682A">
            <w:pPr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109.238,00</w:t>
            </w:r>
          </w:p>
        </w:tc>
      </w:tr>
      <w:tr w:rsidR="00A648EB" w:rsidRPr="00091D6D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A648EB" w:rsidRPr="00091D6D" w:rsidRDefault="00A648EB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ind w:left="6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ind w:left="444" w:hanging="42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д)ТЕКОВНИ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дделнинадлежности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Default="00A648E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ѓ)КАМАТНИ ПЛАЌАЊА                             </w:t>
            </w:r>
          </w:p>
          <w:p w:rsidR="00A648EB" w:rsidRPr="00091D6D" w:rsidRDefault="00A648E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030 до 032)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EC7EA4" w:rsidRPr="00225E10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е)СУБВЕНЦИИ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1B7FF5" w:rsidRDefault="00572093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198.670,00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506B4A" w:rsidRDefault="00506B4A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363.516,00</w:t>
            </w:r>
          </w:p>
        </w:tc>
      </w:tr>
      <w:tr w:rsidR="00EC7EA4" w:rsidRPr="00091D6D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 w:rsidP="002E0B4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091D6D" w:rsidRDefault="00EC7E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C7EA4" w:rsidRPr="00091D6D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 w:rsidP="002E0B4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091D6D" w:rsidRDefault="00EC7E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C7EA4" w:rsidRPr="00091D6D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 w:rsidP="002E0B4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091D6D" w:rsidRDefault="00EC7E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C7EA4" w:rsidRPr="00225E10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1B7FF5" w:rsidRDefault="00572093" w:rsidP="002E0B4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198.670,00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225E10" w:rsidRDefault="00506B4A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363.516,00</w:t>
            </w:r>
          </w:p>
        </w:tc>
      </w:tr>
      <w:tr w:rsidR="00A648EB" w:rsidRPr="00091D6D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ж)СОЦИЈАЛНИ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040 до 043)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648EB" w:rsidRPr="00091D6D" w:rsidRDefault="00A648EB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A46B8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A648EB" w:rsidRPr="00091D6D" w:rsidRDefault="00A648E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648EB" w:rsidRPr="00091D6D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C7EA4" w:rsidRPr="00091D6D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Default="00EC7EA4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II.  КАПИТАЛНИ РАСХОДИ</w:t>
            </w:r>
          </w:p>
          <w:p w:rsidR="00EC7EA4" w:rsidRPr="00091D6D" w:rsidRDefault="00EC7EA4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045 до 054)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1B7FF5" w:rsidRDefault="00572093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7.294.685,00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506B4A" w:rsidRDefault="00506B4A" w:rsidP="002E0B4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1.703.955,00</w:t>
            </w:r>
          </w:p>
        </w:tc>
      </w:tr>
      <w:tr w:rsidR="00EC7EA4" w:rsidRPr="00091D6D" w:rsidTr="0065682A">
        <w:trPr>
          <w:trHeight w:hRule="exact" w:val="54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1B7FF5" w:rsidRDefault="00572093" w:rsidP="006930D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1.347.217,00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506B4A" w:rsidRDefault="00506B4A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988.768,00</w:t>
            </w:r>
          </w:p>
        </w:tc>
      </w:tr>
      <w:tr w:rsidR="00EC7EA4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Градежни објекти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 w:rsidP="002E0B4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225E10" w:rsidRDefault="00EC7E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C7EA4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812A1E" w:rsidRDefault="00572093" w:rsidP="002E0B4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5.587.059,00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506B4A" w:rsidRDefault="00506B4A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715.187,00</w:t>
            </w:r>
          </w:p>
        </w:tc>
      </w:tr>
      <w:tr w:rsidR="00A648EB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976146" w:rsidRDefault="00572093" w:rsidP="00976146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360.409,00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225E10" w:rsidRDefault="00A648EB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648EB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 w:rsidP="0057209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225E10" w:rsidRDefault="00A648EB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Default="00A648E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A648EB" w:rsidRPr="00091D6D" w:rsidRDefault="00A648E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III.  ОТПЛАТА НА ГЛАВНИНА                     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056 до 058)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ind w:left="100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 w:rsidTr="004508CE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napToGrid w:val="0"/>
              <w:ind w:left="7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ind w:left="100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32A01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32A01" w:rsidRPr="00091D6D" w:rsidRDefault="00032A0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32A01" w:rsidRPr="00091D6D" w:rsidRDefault="00032A01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32A01" w:rsidRDefault="00032A01" w:rsidP="00A46B82">
            <w:pPr>
              <w:snapToGrid w:val="0"/>
              <w:ind w:left="313" w:hanging="294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</w:p>
          <w:p w:rsidR="00032A01" w:rsidRPr="00091D6D" w:rsidRDefault="00032A01" w:rsidP="00A46B82">
            <w:pPr>
              <w:snapToGrid w:val="0"/>
              <w:ind w:left="313" w:hanging="29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32A01" w:rsidRPr="00091D6D" w:rsidRDefault="00032A01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2A01" w:rsidRPr="002745A5" w:rsidRDefault="00572093" w:rsidP="00C36E8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59.037.181,00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2A01" w:rsidRPr="00506B4A" w:rsidRDefault="00506B4A" w:rsidP="006D7DDD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55.372.121,00</w:t>
            </w:r>
          </w:p>
        </w:tc>
      </w:tr>
      <w:tr w:rsidR="00A648EB" w:rsidRPr="00091D6D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</w:p>
          <w:p w:rsidR="00A648EB" w:rsidRPr="00FC033A" w:rsidRDefault="00A648EB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>811, 812 и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Default="00A648E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A648EB" w:rsidRDefault="00A648E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A648EB" w:rsidRDefault="00A648E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A648EB" w:rsidRPr="00091D6D" w:rsidRDefault="00A648E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Default="00A648E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</w:p>
          <w:p w:rsidR="00A648EB" w:rsidRPr="00091D6D" w:rsidRDefault="00A648E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РАСПОРЕДУВАЊЕ НА НЕТО ВИШОКОТ НА ПРИХОДИТЕ-ДОБИВКАТА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064 до 066)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Default="00A648E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</w:p>
          <w:p w:rsidR="00A648EB" w:rsidRPr="00091D6D" w:rsidRDefault="00A648E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8EB" w:rsidRPr="00091D6D" w:rsidRDefault="00A648E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648EB" w:rsidRPr="00091D6D" w:rsidRDefault="00A648EB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6C5A6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648EB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8EB" w:rsidRPr="00091D6D" w:rsidRDefault="00A648EB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812A1E" w:rsidRPr="00091D6D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</w:p>
          <w:p w:rsidR="00812A1E" w:rsidRPr="00FC033A" w:rsidRDefault="00812A1E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(059+060) = 105 </w:t>
            </w:r>
          </w:p>
          <w:p w:rsidR="00812A1E" w:rsidRPr="00FC033A" w:rsidRDefault="00812A1E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812A1E" w:rsidRPr="00091D6D" w:rsidRDefault="00812A1E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2745A5" w:rsidRDefault="00572093" w:rsidP="00C36E8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59.037.181,00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2745A5" w:rsidRDefault="00506B4A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55.372.121,00</w:t>
            </w: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napToGrid w:val="0"/>
              <w:ind w:left="53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812A1E" w:rsidRPr="00091D6D" w:rsidRDefault="00812A1E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812A1E" w:rsidRPr="00091D6D" w:rsidRDefault="00812A1E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</w:p>
          <w:p w:rsidR="00812A1E" w:rsidRPr="00091D6D" w:rsidRDefault="00812A1E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Даноци од имот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Default="00812A1E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12A1E" w:rsidRPr="00091D6D" w:rsidRDefault="00812A1E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Default="00812A1E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12A1E" w:rsidRPr="00091D6D" w:rsidRDefault="00812A1E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12A1E" w:rsidRPr="00091D6D" w:rsidRDefault="00812A1E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7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владини услуги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</w:p>
          <w:p w:rsidR="00812A1E" w:rsidRPr="00091D6D" w:rsidRDefault="00812A1E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083 до 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napToGrid w:val="0"/>
              <w:spacing w:line="226" w:lineRule="exact"/>
              <w:ind w:left="8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</w:p>
          <w:p w:rsidR="00812A1E" w:rsidRPr="00091D6D" w:rsidRDefault="00812A1E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2745A5" w:rsidRDefault="00572093" w:rsidP="00C36E8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59.037.181,00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2745A5" w:rsidRDefault="00506B4A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55.372.121,00</w:t>
            </w:r>
          </w:p>
        </w:tc>
      </w:tr>
    </w:tbl>
    <w:p w:rsidR="00A648EB" w:rsidRPr="00091D6D" w:rsidRDefault="00A648EB">
      <w:pPr>
        <w:rPr>
          <w:rFonts w:ascii="Arial Narrow" w:hAnsi="Arial Narrow" w:cs="Arial Narrow"/>
          <w:sz w:val="22"/>
          <w:szCs w:val="22"/>
          <w:lang w:val="mk-MK"/>
        </w:rPr>
        <w:sectPr w:rsidR="00A648E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648EB" w:rsidRPr="00091D6D" w:rsidRDefault="00A648EB">
      <w:pPr>
        <w:spacing w:after="62"/>
        <w:rPr>
          <w:rFonts w:ascii="Arial Narrow" w:hAnsi="Arial Narrow" w:cs="Arial Narrow"/>
          <w:sz w:val="22"/>
          <w:szCs w:val="22"/>
          <w:lang w:val="mk-MK"/>
        </w:rPr>
      </w:pPr>
    </w:p>
    <w:tbl>
      <w:tblPr>
        <w:tblW w:w="9118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A648EB" w:rsidRPr="00091D6D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648EB" w:rsidRPr="00091D6D" w:rsidRDefault="00A648E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D5688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648EB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812A1E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2745A5" w:rsidRDefault="00572093" w:rsidP="00C36E8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59.037.181,00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2745A5" w:rsidRDefault="00506B4A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55.372.121,00</w:t>
            </w:r>
          </w:p>
        </w:tc>
      </w:tr>
      <w:tr w:rsidR="00812A1E" w:rsidRPr="00091D6D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Default="00812A1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</w:p>
          <w:p w:rsidR="00812A1E" w:rsidRPr="00091D6D" w:rsidRDefault="00812A1E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(од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Default="00812A1E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</w:p>
          <w:p w:rsidR="00812A1E" w:rsidRPr="00091D6D" w:rsidRDefault="00812A1E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left="3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</w:p>
          <w:p w:rsidR="00812A1E" w:rsidRPr="00091D6D" w:rsidRDefault="00812A1E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Странски влади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12A1E" w:rsidRPr="00091D6D" w:rsidRDefault="00812A1E">
            <w:pPr>
              <w:shd w:val="clear" w:color="auto" w:fill="FFFFFF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napToGrid w:val="0"/>
              <w:ind w:left="45" w:right="4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</w:p>
          <w:p w:rsidR="00812A1E" w:rsidRPr="00091D6D" w:rsidRDefault="00812A1E">
            <w:pPr>
              <w:snapToGrid w:val="0"/>
              <w:ind w:left="45" w:right="4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12A1E" w:rsidRPr="00091D6D" w:rsidRDefault="00812A1E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2745A5" w:rsidRDefault="00572093" w:rsidP="00C36E8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59.037.181,00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2745A5" w:rsidRDefault="00506B4A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55.372.121,00</w:t>
            </w:r>
          </w:p>
        </w:tc>
      </w:tr>
      <w:tr w:rsidR="00812A1E" w:rsidRPr="00091D6D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12A1E" w:rsidRPr="00091D6D" w:rsidRDefault="00812A1E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</w:p>
          <w:p w:rsidR="00812A1E" w:rsidRPr="00091D6D" w:rsidRDefault="00812A1E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= 067)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2745A5" w:rsidRDefault="00572093" w:rsidP="00C36E8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59.037.181,00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2745A5" w:rsidRDefault="00506B4A" w:rsidP="0065682A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55.372.121,00</w:t>
            </w:r>
          </w:p>
        </w:tc>
      </w:tr>
      <w:tr w:rsidR="00812A1E" w:rsidRPr="00091D6D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12A1E" w:rsidRPr="00091D6D" w:rsidRDefault="00812A1E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32A01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  <w:r w:rsidR="00572093"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506B4A" w:rsidRDefault="00506B4A" w:rsidP="003147C3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957A15">
              <w:rPr>
                <w:rFonts w:ascii="Arial Narrow" w:hAnsi="Arial Narrow" w:cs="Arial Narrow"/>
                <w:sz w:val="22"/>
                <w:szCs w:val="22"/>
                <w:lang w:val="mk-MK"/>
              </w:rPr>
              <w:t>99</w:t>
            </w:r>
          </w:p>
        </w:tc>
      </w:tr>
    </w:tbl>
    <w:p w:rsidR="00A648EB" w:rsidRPr="00091D6D" w:rsidRDefault="00A648EB">
      <w:pPr>
        <w:rPr>
          <w:rFonts w:ascii="Arial Narrow" w:hAnsi="Arial Narrow" w:cs="Arial Narrow"/>
          <w:sz w:val="22"/>
          <w:szCs w:val="22"/>
          <w:lang w:val="mk-MK"/>
        </w:rPr>
        <w:sectPr w:rsidR="00A648E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648EB" w:rsidRPr="00091D6D" w:rsidRDefault="00A648EB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Pr="00091D6D" w:rsidRDefault="00A648EB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Во Кавадарци</w:t>
      </w:r>
    </w:p>
    <w:p w:rsidR="00A648EB" w:rsidRPr="00091D6D" w:rsidRDefault="00A648EB">
      <w:pPr>
        <w:spacing w:before="211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На</w:t>
      </w:r>
      <w:r w:rsidR="004508CE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ден 2</w:t>
      </w:r>
      <w:r w:rsidR="0065682A">
        <w:rPr>
          <w:rFonts w:ascii="Arial Narrow" w:hAnsi="Arial Narrow" w:cs="Arial Narrow"/>
          <w:color w:val="000000"/>
          <w:sz w:val="22"/>
          <w:szCs w:val="22"/>
        </w:rPr>
        <w:t>8</w:t>
      </w:r>
      <w:r w:rsidR="006930DE">
        <w:rPr>
          <w:rFonts w:ascii="Arial Narrow" w:hAnsi="Arial Narrow" w:cs="Arial Narrow"/>
          <w:color w:val="000000"/>
          <w:sz w:val="22"/>
          <w:szCs w:val="22"/>
          <w:lang w:val="mk-MK"/>
        </w:rPr>
        <w:t>.02.20</w:t>
      </w:r>
      <w:r w:rsidR="0065682A">
        <w:rPr>
          <w:rFonts w:ascii="Arial Narrow" w:hAnsi="Arial Narrow" w:cs="Arial Narrow"/>
          <w:color w:val="000000"/>
          <w:sz w:val="22"/>
          <w:szCs w:val="22"/>
        </w:rPr>
        <w:t>2</w:t>
      </w:r>
      <w:bookmarkStart w:id="14" w:name="_GoBack"/>
      <w:bookmarkEnd w:id="14"/>
      <w:r w:rsidR="00572093">
        <w:rPr>
          <w:rFonts w:ascii="Arial Narrow" w:hAnsi="Arial Narrow" w:cs="Arial Narrow"/>
          <w:color w:val="000000"/>
          <w:sz w:val="22"/>
          <w:szCs w:val="22"/>
        </w:rPr>
        <w:t>2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г.</w:t>
      </w:r>
    </w:p>
    <w:p w:rsidR="00A648EB" w:rsidRPr="00091D6D" w:rsidRDefault="00A648EB">
      <w:pPr>
        <w:spacing w:before="5" w:line="216" w:lineRule="exact"/>
        <w:ind w:left="869" w:hanging="869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spacing w:before="5" w:line="216" w:lineRule="exact"/>
        <w:ind w:left="869" w:hanging="869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Pr="00091D6D" w:rsidRDefault="00A648EB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Лице одговорно за составување на</w:t>
      </w:r>
    </w:p>
    <w:p w:rsidR="00A648EB" w:rsidRPr="00091D6D" w:rsidRDefault="00A648EB" w:rsidP="0008307F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илансот</w:t>
      </w:r>
    </w:p>
    <w:p w:rsidR="00A648EB" w:rsidRPr="00091D6D" w:rsidRDefault="00A648EB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Pr="00091D6D" w:rsidRDefault="00A648EB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Pr="00B47F47" w:rsidRDefault="00B47F47">
      <w:pPr>
        <w:pStyle w:val="BlockText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val="mk-MK"/>
        </w:rPr>
        <w:t>Невенка Јанеска</w:t>
      </w:r>
    </w:p>
    <w:p w:rsidR="00A648EB" w:rsidRDefault="00A648EB">
      <w:pPr>
        <w:spacing w:before="221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spacing w:before="221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М.П.</w:t>
      </w:r>
    </w:p>
    <w:p w:rsidR="00A648EB" w:rsidRPr="00091D6D" w:rsidRDefault="00A648EB">
      <w:pPr>
        <w:spacing w:before="10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Раководител</w:t>
      </w:r>
    </w:p>
    <w:p w:rsidR="00A648EB" w:rsidRPr="007B55E2" w:rsidRDefault="00A5303F">
      <w:pPr>
        <w:spacing w:before="10"/>
        <w:rPr>
          <w:rFonts w:ascii="Arial Narrow" w:hAnsi="Arial Narrow" w:cs="Arial Narrow"/>
          <w:color w:val="000000"/>
          <w:sz w:val="22"/>
          <w:szCs w:val="22"/>
        </w:rPr>
        <w:sectPr w:rsidR="00A648EB" w:rsidRPr="007B55E2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Илинка Бакева</w:t>
      </w:r>
    </w:p>
    <w:p w:rsidR="00A648EB" w:rsidRPr="00091D6D" w:rsidRDefault="00A648EB">
      <w:pPr>
        <w:spacing w:before="62"/>
        <w:rPr>
          <w:rFonts w:ascii="Arial Narrow" w:hAnsi="Arial Narrow" w:cs="Arial Narrow"/>
          <w:sz w:val="22"/>
          <w:szCs w:val="22"/>
          <w:lang w:val="mk-MK"/>
        </w:rPr>
        <w:sectPr w:rsidR="00A648E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:rsidR="00A648EB" w:rsidRPr="00F73A6E" w:rsidRDefault="00A648EB" w:rsidP="00F17D44">
      <w:pPr>
        <w:spacing w:before="29" w:line="418" w:lineRule="exact"/>
        <w:ind w:right="3629"/>
        <w:jc w:val="both"/>
        <w:rPr>
          <w:rFonts w:ascii="Arial Narrow" w:hAnsi="Arial Narrow" w:cs="Arial Narrow"/>
          <w:sz w:val="22"/>
          <w:szCs w:val="22"/>
        </w:rPr>
      </w:pPr>
    </w:p>
    <w:sectPr w:rsidR="00A648EB" w:rsidRPr="00F73A6E" w:rsidSect="0075600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F57"/>
    <w:rsid w:val="00032A01"/>
    <w:rsid w:val="00065612"/>
    <w:rsid w:val="00072596"/>
    <w:rsid w:val="0008307F"/>
    <w:rsid w:val="00091D6D"/>
    <w:rsid w:val="00095BB8"/>
    <w:rsid w:val="000B15D0"/>
    <w:rsid w:val="000F634E"/>
    <w:rsid w:val="001B4640"/>
    <w:rsid w:val="001B7AF3"/>
    <w:rsid w:val="001B7FF5"/>
    <w:rsid w:val="001F4B36"/>
    <w:rsid w:val="00225E10"/>
    <w:rsid w:val="00254D87"/>
    <w:rsid w:val="002745A5"/>
    <w:rsid w:val="002E0B42"/>
    <w:rsid w:val="002E5C56"/>
    <w:rsid w:val="003147C3"/>
    <w:rsid w:val="00322A95"/>
    <w:rsid w:val="003A34CB"/>
    <w:rsid w:val="003F470E"/>
    <w:rsid w:val="004508CE"/>
    <w:rsid w:val="00452B31"/>
    <w:rsid w:val="004D54CF"/>
    <w:rsid w:val="00506B4A"/>
    <w:rsid w:val="005135AE"/>
    <w:rsid w:val="0055277D"/>
    <w:rsid w:val="00565695"/>
    <w:rsid w:val="00572093"/>
    <w:rsid w:val="0065682A"/>
    <w:rsid w:val="00661AC4"/>
    <w:rsid w:val="006930DE"/>
    <w:rsid w:val="006C5A67"/>
    <w:rsid w:val="006D7DDD"/>
    <w:rsid w:val="00724CB0"/>
    <w:rsid w:val="007271E3"/>
    <w:rsid w:val="00756004"/>
    <w:rsid w:val="0077647F"/>
    <w:rsid w:val="007916F7"/>
    <w:rsid w:val="00795F57"/>
    <w:rsid w:val="007B55E2"/>
    <w:rsid w:val="007C2D36"/>
    <w:rsid w:val="00803C0F"/>
    <w:rsid w:val="00812A1E"/>
    <w:rsid w:val="00821148"/>
    <w:rsid w:val="008311A0"/>
    <w:rsid w:val="0086421F"/>
    <w:rsid w:val="008B1917"/>
    <w:rsid w:val="008C71AC"/>
    <w:rsid w:val="00900144"/>
    <w:rsid w:val="009508A8"/>
    <w:rsid w:val="00957A15"/>
    <w:rsid w:val="00976146"/>
    <w:rsid w:val="00995D91"/>
    <w:rsid w:val="009B6CC8"/>
    <w:rsid w:val="00A46B82"/>
    <w:rsid w:val="00A5303F"/>
    <w:rsid w:val="00A648EB"/>
    <w:rsid w:val="00AC2F63"/>
    <w:rsid w:val="00AC5F5E"/>
    <w:rsid w:val="00AE1850"/>
    <w:rsid w:val="00B27E07"/>
    <w:rsid w:val="00B47F47"/>
    <w:rsid w:val="00B53DF1"/>
    <w:rsid w:val="00C036E8"/>
    <w:rsid w:val="00C129B7"/>
    <w:rsid w:val="00C36E81"/>
    <w:rsid w:val="00CB6C53"/>
    <w:rsid w:val="00CD2FE9"/>
    <w:rsid w:val="00D24417"/>
    <w:rsid w:val="00D24957"/>
    <w:rsid w:val="00D45F8A"/>
    <w:rsid w:val="00D5688F"/>
    <w:rsid w:val="00D6699F"/>
    <w:rsid w:val="00DD78AB"/>
    <w:rsid w:val="00DE3063"/>
    <w:rsid w:val="00DE7B94"/>
    <w:rsid w:val="00E66266"/>
    <w:rsid w:val="00E95F8C"/>
    <w:rsid w:val="00EB7E53"/>
    <w:rsid w:val="00EC7EA4"/>
    <w:rsid w:val="00ED77F6"/>
    <w:rsid w:val="00EE6903"/>
    <w:rsid w:val="00F07BF0"/>
    <w:rsid w:val="00F17D44"/>
    <w:rsid w:val="00F620EF"/>
    <w:rsid w:val="00F73A6E"/>
    <w:rsid w:val="00F965D4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04"/>
    <w:pPr>
      <w:widowControl w:val="0"/>
      <w:suppressAutoHyphens/>
      <w:autoSpaceDE w:val="0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756004"/>
  </w:style>
  <w:style w:type="character" w:customStyle="1" w:styleId="WW-Absatz-Standardschriftart">
    <w:name w:val="WW-Absatz-Standardschriftart"/>
    <w:uiPriority w:val="99"/>
    <w:rsid w:val="00756004"/>
  </w:style>
  <w:style w:type="character" w:customStyle="1" w:styleId="WW-Absatz-Standardschriftart1">
    <w:name w:val="WW-Absatz-Standardschriftart1"/>
    <w:uiPriority w:val="99"/>
    <w:rsid w:val="00756004"/>
  </w:style>
  <w:style w:type="character" w:customStyle="1" w:styleId="WW8Num1z0">
    <w:name w:val="WW8Num1z0"/>
    <w:uiPriority w:val="99"/>
    <w:rsid w:val="00756004"/>
    <w:rPr>
      <w:rFonts w:ascii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uiPriority w:val="99"/>
    <w:rsid w:val="00756004"/>
  </w:style>
  <w:style w:type="character" w:customStyle="1" w:styleId="RTFNum21">
    <w:name w:val="RTF_Num 2 1"/>
    <w:uiPriority w:val="99"/>
    <w:rsid w:val="00756004"/>
    <w:rPr>
      <w:rFonts w:ascii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uiPriority w:val="99"/>
    <w:rsid w:val="00756004"/>
    <w:rPr>
      <w:rFonts w:ascii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uiPriority w:val="99"/>
    <w:rsid w:val="00756004"/>
    <w:rPr>
      <w:rFonts w:ascii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uiPriority w:val="99"/>
    <w:rsid w:val="00756004"/>
    <w:rPr>
      <w:rFonts w:ascii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uiPriority w:val="99"/>
    <w:rsid w:val="00756004"/>
    <w:rPr>
      <w:rFonts w:ascii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uiPriority w:val="99"/>
    <w:rsid w:val="00756004"/>
  </w:style>
  <w:style w:type="paragraph" w:customStyle="1" w:styleId="Heading">
    <w:name w:val="Heading"/>
    <w:basedOn w:val="Normal"/>
    <w:next w:val="BodyText"/>
    <w:uiPriority w:val="99"/>
    <w:rsid w:val="00756004"/>
    <w:pPr>
      <w:keepNext/>
      <w:spacing w:before="240" w:after="120"/>
    </w:pPr>
    <w:rPr>
      <w:rFonts w:eastAsia="MS Mincho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756004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7916F7"/>
    <w:rPr>
      <w:rFonts w:ascii="Arial" w:hAnsi="Arial" w:cs="Arial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756004"/>
  </w:style>
  <w:style w:type="paragraph" w:styleId="Caption">
    <w:name w:val="caption"/>
    <w:basedOn w:val="Normal"/>
    <w:uiPriority w:val="99"/>
    <w:qFormat/>
    <w:rsid w:val="0075600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756004"/>
  </w:style>
  <w:style w:type="paragraph" w:customStyle="1" w:styleId="Caption1">
    <w:name w:val="Caption1"/>
    <w:basedOn w:val="Normal"/>
    <w:uiPriority w:val="99"/>
    <w:rsid w:val="00756004"/>
    <w:pPr>
      <w:spacing w:before="120" w:after="120"/>
    </w:pPr>
    <w:rPr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75600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75600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75600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link w:val="BodyText2"/>
    <w:uiPriority w:val="99"/>
    <w:semiHidden/>
    <w:locked/>
    <w:rsid w:val="007916F7"/>
    <w:rPr>
      <w:rFonts w:ascii="Arial" w:hAnsi="Arial" w:cs="Arial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756004"/>
  </w:style>
  <w:style w:type="paragraph" w:customStyle="1" w:styleId="TableHeading">
    <w:name w:val="Table Heading"/>
    <w:basedOn w:val="TableContents"/>
    <w:uiPriority w:val="99"/>
    <w:rsid w:val="0075600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Korisnik</cp:lastModifiedBy>
  <cp:revision>2</cp:revision>
  <cp:lastPrinted>2014-02-12T13:37:00Z</cp:lastPrinted>
  <dcterms:created xsi:type="dcterms:W3CDTF">2022-02-01T08:10:00Z</dcterms:created>
  <dcterms:modified xsi:type="dcterms:W3CDTF">2022-02-01T08:10:00Z</dcterms:modified>
</cp:coreProperties>
</file>